
<file path=[Content_Types].xml><?xml version="1.0" encoding="utf-8"?>
<Types xmlns="http://schemas.openxmlformats.org/package/2006/content-types">
  <Default ContentType="image/tiff" Extension="tif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14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146"/>
        <w:tblGridChange w:id="0">
          <w:tblGrid>
            <w:gridCol w:w="9146"/>
          </w:tblGrid>
        </w:tblGridChange>
      </w:tblGrid>
      <w:tr>
        <w:trPr>
          <w:cantSplit w:val="0"/>
          <w:trHeight w:val="302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bidiVisual w:val="1"/>
              <w:tblW w:w="893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871"/>
              <w:gridCol w:w="6211"/>
              <w:gridCol w:w="1848"/>
              <w:tblGridChange w:id="0">
                <w:tblGrid>
                  <w:gridCol w:w="871"/>
                  <w:gridCol w:w="6211"/>
                  <w:gridCol w:w="1848"/>
                </w:tblGrid>
              </w:tblGridChange>
            </w:tblGrid>
            <w:tr>
              <w:trPr>
                <w:cantSplit w:val="0"/>
                <w:trHeight w:val="363" w:hRule="atLeast"/>
                <w:tblHeader w:val="0"/>
              </w:trPr>
              <w:tc>
                <w:tcPr>
                  <w:vAlign w:val="bottom"/>
                </w:tcPr>
                <w:p w:rsidR="00000000" w:rsidDel="00000000" w:rsidP="00000000" w:rsidRDefault="00000000" w:rsidRPr="00000000" w14:paraId="00000003">
                  <w:pPr>
                    <w:bidi w:val="1"/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sz w:val="26"/>
                      <w:szCs w:val="26"/>
                      <w:rtl w:val="1"/>
                    </w:rPr>
                    <w:t xml:space="preserve">בעניין</w:t>
                  </w:r>
                  <w:r w:rsidDel="00000000" w:rsidR="00000000" w:rsidRPr="00000000">
                    <w:rPr>
                      <w:sz w:val="26"/>
                      <w:szCs w:val="26"/>
                      <w:rtl w:val="1"/>
                    </w:rPr>
                    <w:t xml:space="preserve">:</w:t>
                  </w:r>
                </w:p>
              </w:tc>
              <w:tc>
                <w:tcPr>
                  <w:gridSpan w:val="2"/>
                  <w:vAlign w:val="bottom"/>
                </w:tcPr>
                <w:p w:rsidR="00000000" w:rsidDel="00000000" w:rsidP="00000000" w:rsidRDefault="00000000" w:rsidRPr="00000000" w14:paraId="00000004">
                  <w:pPr>
                    <w:bidi w:val="1"/>
                    <w:rPr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b w:val="1"/>
                      <w:sz w:val="26"/>
                      <w:szCs w:val="26"/>
                      <w:rtl w:val="1"/>
                    </w:rPr>
                    <w:t xml:space="preserve">מדינת</w:t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rtl w:val="1"/>
                    </w:rPr>
                    <w:t xml:space="preserve">ישראל</w:t>
                  </w:r>
                  <w:r w:rsidDel="00000000" w:rsidR="00000000" w:rsidRPr="00000000">
                    <w:rPr>
                      <w:b w:val="1"/>
                      <w:sz w:val="26"/>
                      <w:szCs w:val="26"/>
                      <w:rtl w:val="1"/>
                    </w:rPr>
                    <w:t xml:space="preserve">   </w:t>
                  </w:r>
                </w:p>
              </w:tc>
            </w:tr>
            <w:tr>
              <w:trPr>
                <w:cantSplit w:val="0"/>
                <w:trHeight w:val="77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6">
                  <w:pPr>
                    <w:bidi w:val="1"/>
                    <w:rPr>
                      <w:rFonts w:ascii="Arial" w:cs="Arial" w:eastAsia="Arial" w:hAnsi="Arial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7">
                  <w:pPr>
                    <w:bidi w:val="1"/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"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י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עוה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"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ד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sz w:val="26"/>
                      <w:szCs w:val="2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6"/>
                      <w:szCs w:val="26"/>
                      <w:rtl w:val="1"/>
                    </w:rPr>
                    <w:t xml:space="preserve">שירה</w:t>
                  </w:r>
                  <w:r w:rsidDel="00000000" w:rsidR="00000000" w:rsidRPr="00000000">
                    <w:rPr>
                      <w:sz w:val="26"/>
                      <w:szCs w:val="2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6"/>
                      <w:szCs w:val="26"/>
                      <w:rtl w:val="1"/>
                    </w:rPr>
                    <w:t xml:space="preserve">קני</w:t>
                  </w:r>
                  <w:r w:rsidDel="00000000" w:rsidR="00000000" w:rsidRPr="00000000">
                    <w:rPr>
                      <w:sz w:val="26"/>
                      <w:szCs w:val="26"/>
                      <w:rtl w:val="1"/>
                    </w:rPr>
                    <w:t xml:space="preserve">-</w:t>
                  </w:r>
                  <w:r w:rsidDel="00000000" w:rsidR="00000000" w:rsidRPr="00000000">
                    <w:rPr>
                      <w:sz w:val="26"/>
                      <w:szCs w:val="26"/>
                      <w:rtl w:val="1"/>
                    </w:rPr>
                    <w:t xml:space="preserve">טל</w:t>
                  </w:r>
                  <w:r w:rsidDel="00000000" w:rsidR="00000000" w:rsidRPr="00000000">
                    <w:rPr>
                      <w:sz w:val="26"/>
                      <w:szCs w:val="26"/>
                      <w:rtl w:val="1"/>
                    </w:rPr>
                    <w:t xml:space="preserve">, </w:t>
                  </w:r>
                  <w:r w:rsidDel="00000000" w:rsidR="00000000" w:rsidRPr="00000000">
                    <w:rPr>
                      <w:sz w:val="26"/>
                      <w:szCs w:val="26"/>
                      <w:rtl w:val="1"/>
                    </w:rPr>
                    <w:t xml:space="preserve">אמיר</w:t>
                  </w:r>
                  <w:r w:rsidDel="00000000" w:rsidR="00000000" w:rsidRPr="00000000">
                    <w:rPr>
                      <w:sz w:val="26"/>
                      <w:szCs w:val="2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sz w:val="26"/>
                      <w:szCs w:val="26"/>
                      <w:rtl w:val="1"/>
                    </w:rPr>
                    <w:t xml:space="preserve">קסנטיני</w:t>
                  </w:r>
                </w:p>
              </w:tc>
              <w:tc>
                <w:tcPr/>
                <w:p w:rsidR="00000000" w:rsidDel="00000000" w:rsidP="00000000" w:rsidRDefault="00000000" w:rsidRPr="00000000" w14:paraId="00000008">
                  <w:pPr>
                    <w:bidi w:val="1"/>
                    <w:rPr>
                      <w:rFonts w:ascii="Arial" w:cs="Arial" w:eastAsia="Arial" w:hAnsi="Arial"/>
                      <w:b w:val="1"/>
                      <w:sz w:val="26"/>
                      <w:szCs w:val="26"/>
                      <w:u w:val="single"/>
                    </w:rPr>
                  </w:pPr>
                  <w:r w:rsidDel="00000000" w:rsidR="00000000" w:rsidRPr="00000000">
                    <w:rPr>
                      <w:b w:val="1"/>
                      <w:sz w:val="26"/>
                      <w:szCs w:val="26"/>
                      <w:u w:val="single"/>
                      <w:rtl w:val="1"/>
                    </w:rPr>
                    <w:t xml:space="preserve">ה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6"/>
                      <w:szCs w:val="26"/>
                      <w:u w:val="single"/>
                      <w:rtl w:val="1"/>
                    </w:rPr>
                    <w:t xml:space="preserve">מאשימה</w:t>
                  </w:r>
                </w:p>
              </w:tc>
            </w:tr>
            <w:tr>
              <w:trPr>
                <w:cantSplit w:val="0"/>
                <w:trHeight w:val="75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9">
                  <w:pPr>
                    <w:bidi w:val="1"/>
                    <w:rPr>
                      <w:rFonts w:ascii="Arial" w:cs="Arial" w:eastAsia="Arial" w:hAnsi="Arial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A">
                  <w:pPr>
                    <w:bidi w:val="1"/>
                    <w:jc w:val="center"/>
                    <w:rPr>
                      <w:rFonts w:ascii="Arial" w:cs="Arial" w:eastAsia="Arial" w:hAnsi="Arial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6"/>
                      <w:szCs w:val="26"/>
                      <w:rtl w:val="1"/>
                    </w:rPr>
                    <w:t xml:space="preserve">נגד</w:t>
                  </w:r>
                </w:p>
                <w:p w:rsidR="00000000" w:rsidDel="00000000" w:rsidP="00000000" w:rsidRDefault="00000000" w:rsidRPr="00000000" w14:paraId="0000000B">
                  <w:pPr>
                    <w:bidi w:val="1"/>
                    <w:jc w:val="center"/>
                    <w:rPr>
                      <w:rFonts w:ascii="Arial" w:cs="Arial" w:eastAsia="Arial" w:hAnsi="Arial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C">
                  <w:pPr>
                    <w:bidi w:val="1"/>
                    <w:rPr>
                      <w:rFonts w:ascii="Arial" w:cs="Arial" w:eastAsia="Arial" w:hAnsi="Arial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6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D">
                  <w:pPr>
                    <w:bidi w:val="1"/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vAlign w:val="bottom"/>
                </w:tcPr>
                <w:p w:rsidR="00000000" w:rsidDel="00000000" w:rsidP="00000000" w:rsidRDefault="00000000" w:rsidRPr="00000000" w14:paraId="0000000E">
                  <w:pPr>
                    <w:bidi w:val="1"/>
                    <w:rPr>
                      <w:rFonts w:ascii="Arial" w:cs="Arial" w:eastAsia="Arial" w:hAnsi="Arial"/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6"/>
                      <w:szCs w:val="26"/>
                      <w:rtl w:val="1"/>
                    </w:rPr>
                    <w:t xml:space="preserve">וסים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6"/>
                      <w:szCs w:val="2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6"/>
                      <w:szCs w:val="26"/>
                      <w:rtl w:val="1"/>
                    </w:rPr>
                    <w:t xml:space="preserve">אסעיד</w:t>
                  </w: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6"/>
                      <w:szCs w:val="26"/>
                      <w:rtl w:val="1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762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0">
                  <w:pPr>
                    <w:bidi w:val="1"/>
                    <w:rPr>
                      <w:rFonts w:ascii="Arial" w:cs="Arial" w:eastAsia="Arial" w:hAnsi="Arial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11">
                  <w:pPr>
                    <w:bidi w:val="1"/>
                    <w:rPr>
                      <w:rFonts w:ascii="Arial" w:cs="Arial" w:eastAsia="Arial" w:hAnsi="Arial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ע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"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י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עוה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"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ד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מחמד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חלאיילה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,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פארס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sz w:val="26"/>
                      <w:szCs w:val="26"/>
                      <w:rtl w:val="1"/>
                    </w:rPr>
                    <w:t xml:space="preserve">מוסטפא</w:t>
                  </w:r>
                </w:p>
              </w:tc>
              <w:tc>
                <w:tcPr/>
                <w:p w:rsidR="00000000" w:rsidDel="00000000" w:rsidP="00000000" w:rsidRDefault="00000000" w:rsidRPr="00000000" w14:paraId="00000012">
                  <w:pPr>
                    <w:bidi w:val="1"/>
                    <w:rPr>
                      <w:rFonts w:ascii="Arial" w:cs="Arial" w:eastAsia="Arial" w:hAnsi="Arial"/>
                      <w:b w:val="1"/>
                      <w:sz w:val="26"/>
                      <w:szCs w:val="26"/>
                      <w:u w:val="single"/>
                    </w:rPr>
                  </w:pPr>
                  <w:r w:rsidDel="00000000" w:rsidR="00000000" w:rsidRPr="00000000">
                    <w:rPr>
                      <w:b w:val="1"/>
                      <w:sz w:val="26"/>
                      <w:szCs w:val="26"/>
                      <w:u w:val="single"/>
                      <w:rtl w:val="1"/>
                    </w:rPr>
                    <w:t xml:space="preserve">הנאשם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3">
            <w:pPr>
              <w:bidi w:val="1"/>
              <w:ind w:left="65" w:firstLine="0"/>
              <w:jc w:val="right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104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104"/>
        <w:tblGridChange w:id="0">
          <w:tblGrid>
            <w:gridCol w:w="91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bidi w:val="1"/>
              <w:jc w:val="center"/>
              <w:rPr>
                <w:rFonts w:ascii="Arial" w:cs="Arial" w:eastAsia="Arial" w:hAnsi="Arial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גזר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1"/>
              </w:rPr>
              <w:t xml:space="preserve">דין</w:t>
            </w:r>
          </w:p>
        </w:tc>
      </w:tr>
    </w:tbl>
    <w:p w:rsidR="00000000" w:rsidDel="00000000" w:rsidP="00000000" w:rsidRDefault="00000000" w:rsidRPr="00000000" w14:paraId="00000016">
      <w:pPr>
        <w:bidi w:val="1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360" w:lineRule="auto"/>
        <w:jc w:val="both"/>
        <w:rPr>
          <w:rFonts w:ascii="Arial" w:cs="Arial" w:eastAsia="Arial" w:hAnsi="Arial"/>
          <w:b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1"/>
        </w:rPr>
        <w:t xml:space="preserve">השופט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1"/>
        </w:rPr>
        <w:t xml:space="preserve">א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1"/>
        </w:rPr>
        <w:t xml:space="preserve">דראל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1"/>
        </w:rPr>
        <w:t xml:space="preserve">סגן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1"/>
        </w:rPr>
        <w:t xml:space="preserve">נשיא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8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ׁ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!</w:t>
      </w:r>
    </w:p>
    <w:p w:rsidR="00000000" w:rsidDel="00000000" w:rsidP="00000000" w:rsidRDefault="00000000" w:rsidRPr="00000000" w14:paraId="00000019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–</w:t>
      </w:r>
    </w:p>
    <w:p w:rsidR="00000000" w:rsidDel="00000000" w:rsidP="00000000" w:rsidRDefault="00000000" w:rsidRPr="00000000" w14:paraId="0000001A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–</w:t>
      </w:r>
    </w:p>
    <w:p w:rsidR="00000000" w:rsidDel="00000000" w:rsidP="00000000" w:rsidRDefault="00000000" w:rsidRPr="00000000" w14:paraId="0000001B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!</w:t>
      </w:r>
    </w:p>
    <w:p w:rsidR="00000000" w:rsidDel="00000000" w:rsidP="00000000" w:rsidRDefault="00000000" w:rsidRPr="00000000" w14:paraId="0000001C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 –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,</w:t>
      </w:r>
    </w:p>
    <w:p w:rsidR="00000000" w:rsidDel="00000000" w:rsidP="00000000" w:rsidRDefault="00000000" w:rsidRPr="00000000" w14:paraId="0000001D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ף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–</w:t>
      </w:r>
    </w:p>
    <w:p w:rsidR="00000000" w:rsidDel="00000000" w:rsidP="00000000" w:rsidRDefault="00000000" w:rsidRPr="00000000" w14:paraId="0000001E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?</w:t>
      </w:r>
    </w:p>
    <w:p w:rsidR="00000000" w:rsidDel="00000000" w:rsidP="00000000" w:rsidRDefault="00000000" w:rsidRPr="00000000" w14:paraId="0000001F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!</w:t>
      </w:r>
    </w:p>
    <w:p w:rsidR="00000000" w:rsidDel="00000000" w:rsidP="00000000" w:rsidRDefault="00000000" w:rsidRPr="00000000" w14:paraId="00000021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,</w:t>
      </w:r>
    </w:p>
    <w:p w:rsidR="00000000" w:rsidDel="00000000" w:rsidP="00000000" w:rsidRDefault="00000000" w:rsidRPr="00000000" w14:paraId="00000022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–</w:t>
      </w:r>
    </w:p>
    <w:p w:rsidR="00000000" w:rsidDel="00000000" w:rsidP="00000000" w:rsidRDefault="00000000" w:rsidRPr="00000000" w14:paraId="00000023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 –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!</w:t>
      </w:r>
    </w:p>
    <w:p w:rsidR="00000000" w:rsidDel="00000000" w:rsidP="00000000" w:rsidRDefault="00000000" w:rsidRPr="00000000" w14:paraId="00000024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,</w:t>
      </w:r>
    </w:p>
    <w:p w:rsidR="00000000" w:rsidDel="00000000" w:rsidP="00000000" w:rsidRDefault="00000000" w:rsidRPr="00000000" w14:paraId="00000025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ָׂ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ֻּ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 –</w:t>
      </w:r>
    </w:p>
    <w:p w:rsidR="00000000" w:rsidDel="00000000" w:rsidP="00000000" w:rsidRDefault="00000000" w:rsidRPr="00000000" w14:paraId="00000026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ׁ־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!</w:t>
      </w:r>
    </w:p>
    <w:p w:rsidR="00000000" w:rsidDel="00000000" w:rsidP="00000000" w:rsidRDefault="00000000" w:rsidRPr="00000000" w14:paraId="00000029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ָּׁ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יע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</w:p>
    <w:p w:rsidR="00000000" w:rsidDel="00000000" w:rsidP="00000000" w:rsidRDefault="00000000" w:rsidRPr="00000000" w14:paraId="0000002A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יע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 –</w:t>
      </w:r>
    </w:p>
    <w:p w:rsidR="00000000" w:rsidDel="00000000" w:rsidP="00000000" w:rsidRDefault="00000000" w:rsidRPr="00000000" w14:paraId="0000002B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!</w:t>
      </w:r>
    </w:p>
    <w:p w:rsidR="00000000" w:rsidDel="00000000" w:rsidP="00000000" w:rsidRDefault="00000000" w:rsidRPr="00000000" w14:paraId="0000002C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ַׁ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ּ;</w:t>
      </w:r>
    </w:p>
    <w:p w:rsidR="00000000" w:rsidDel="00000000" w:rsidP="00000000" w:rsidRDefault="00000000" w:rsidRPr="00000000" w14:paraId="0000002D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ף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כו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ּ,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</w:p>
    <w:p w:rsidR="00000000" w:rsidDel="00000000" w:rsidP="00000000" w:rsidRDefault="00000000" w:rsidRPr="00000000" w14:paraId="0000002E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ּ.</w:t>
      </w:r>
    </w:p>
    <w:p w:rsidR="00000000" w:rsidDel="00000000" w:rsidP="00000000" w:rsidRDefault="00000000" w:rsidRPr="00000000" w14:paraId="0000002F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!</w:t>
      </w:r>
    </w:p>
    <w:p w:rsidR="00000000" w:rsidDel="00000000" w:rsidP="00000000" w:rsidRDefault="00000000" w:rsidRPr="00000000" w14:paraId="00000031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ן</w:t>
      </w:r>
    </w:p>
    <w:p w:rsidR="00000000" w:rsidDel="00000000" w:rsidP="00000000" w:rsidRDefault="00000000" w:rsidRPr="00000000" w14:paraId="00000032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ָּׂ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–</w:t>
      </w:r>
    </w:p>
    <w:p w:rsidR="00000000" w:rsidDel="00000000" w:rsidP="00000000" w:rsidRDefault="00000000" w:rsidRPr="00000000" w14:paraId="00000033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!</w:t>
      </w:r>
    </w:p>
    <w:p w:rsidR="00000000" w:rsidDel="00000000" w:rsidP="00000000" w:rsidRDefault="00000000" w:rsidRPr="00000000" w14:paraId="00000034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ַׁ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,</w:t>
      </w:r>
    </w:p>
    <w:p w:rsidR="00000000" w:rsidDel="00000000" w:rsidP="00000000" w:rsidRDefault="00000000" w:rsidRPr="00000000" w14:paraId="00000035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ם</w:t>
      </w:r>
    </w:p>
    <w:p w:rsidR="00000000" w:rsidDel="00000000" w:rsidP="00000000" w:rsidRDefault="00000000" w:rsidRPr="00000000" w14:paraId="00000036">
      <w:pPr>
        <w:bidi w:val="1"/>
        <w:ind w:left="2880" w:firstLine="0"/>
        <w:jc w:val="both"/>
        <w:rPr>
          <w:rFonts w:ascii="David" w:cs="David" w:eastAsia="David" w:hAnsi="David"/>
          <w:b w:val="1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דו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ind w:left="2880" w:firstLine="0"/>
        <w:jc w:val="both"/>
        <w:rPr>
          <w:rFonts w:ascii="David" w:cs="David" w:eastAsia="David" w:hAnsi="David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b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David" w:cs="David" w:eastAsia="David" w:hAnsi="David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2"/>
          <w:szCs w:val="22"/>
          <w:rtl w:val="1"/>
        </w:rPr>
        <w:t xml:space="preserve">השחיטה</w:t>
      </w:r>
      <w:r w:rsidDel="00000000" w:rsidR="00000000" w:rsidRPr="00000000">
        <w:rPr>
          <w:rFonts w:ascii="David" w:cs="David" w:eastAsia="David" w:hAnsi="David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2"/>
          <w:szCs w:val="22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2"/>
          <w:szCs w:val="22"/>
          <w:rtl w:val="1"/>
        </w:rPr>
        <w:t xml:space="preserve">נחמן</w:t>
      </w:r>
      <w:r w:rsidDel="00000000" w:rsidR="00000000" w:rsidRPr="00000000">
        <w:rPr>
          <w:rFonts w:ascii="David" w:cs="David" w:eastAsia="David" w:hAnsi="David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2"/>
          <w:szCs w:val="22"/>
          <w:rtl w:val="1"/>
        </w:rPr>
        <w:t xml:space="preserve">ביאליק</w:t>
      </w:r>
    </w:p>
    <w:p w:rsidR="00000000" w:rsidDel="00000000" w:rsidP="00000000" w:rsidRDefault="00000000" w:rsidRPr="00000000" w14:paraId="00000038">
      <w:pPr>
        <w:bidi w:val="1"/>
        <w:ind w:left="2880" w:firstLine="0"/>
        <w:jc w:val="both"/>
        <w:rPr>
          <w:rFonts w:ascii="David" w:cs="David" w:eastAsia="David" w:hAnsi="David"/>
          <w:sz w:val="22"/>
          <w:szCs w:val="22"/>
        </w:rPr>
      </w:pPr>
      <w:r w:rsidDel="00000000" w:rsidR="00000000" w:rsidRPr="00000000">
        <w:rPr>
          <w:rFonts w:ascii="David" w:cs="David" w:eastAsia="David" w:hAnsi="David"/>
          <w:sz w:val="22"/>
          <w:szCs w:val="22"/>
          <w:rtl w:val="1"/>
        </w:rPr>
        <w:t xml:space="preserve">אייר</w:t>
      </w:r>
      <w:r w:rsidDel="00000000" w:rsidR="00000000" w:rsidRPr="00000000">
        <w:rPr>
          <w:rFonts w:ascii="David" w:cs="David" w:eastAsia="David" w:hAnsi="David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2"/>
          <w:szCs w:val="22"/>
          <w:rtl w:val="1"/>
        </w:rPr>
        <w:t xml:space="preserve">תרס</w:t>
      </w:r>
      <w:r w:rsidDel="00000000" w:rsidR="00000000" w:rsidRPr="00000000">
        <w:rPr>
          <w:rFonts w:ascii="David" w:cs="David" w:eastAsia="David" w:hAnsi="David"/>
          <w:sz w:val="22"/>
          <w:szCs w:val="22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2"/>
          <w:szCs w:val="22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spacing w:line="360" w:lineRule="auto"/>
        <w:jc w:val="both"/>
        <w:rPr>
          <w:rFonts w:ascii="David" w:cs="David" w:eastAsia="David" w:hAnsi="David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line="360" w:lineRule="auto"/>
        <w:jc w:val="both"/>
        <w:rPr>
          <w:rFonts w:ascii="David" w:cs="David" w:eastAsia="David" w:hAnsi="David"/>
          <w:sz w:val="26"/>
          <w:szCs w:val="26"/>
        </w:rPr>
      </w:pP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מילותיו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נחמן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ביאליק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המשורר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הלאומי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נכתבו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אירועי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הפוגרום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בקישינב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1903.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מאז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ועד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ימינו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וביתר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שאת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בתקופה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האחרונה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באירועים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הנוראיים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שאירעו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בישובי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הדרום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-7.10.2023,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נרצחים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בשל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יהדותם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spacing w:line="360" w:lineRule="auto"/>
        <w:jc w:val="both"/>
        <w:rPr>
          <w:rFonts w:ascii="David" w:cs="David" w:eastAsia="David" w:hAnsi="Davi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line="360" w:lineRule="auto"/>
        <w:jc w:val="both"/>
        <w:rPr>
          <w:rFonts w:ascii="David" w:cs="David" w:eastAsia="David" w:hAnsi="David"/>
          <w:sz w:val="26"/>
          <w:szCs w:val="26"/>
        </w:rPr>
      </w:pP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שחט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פשוט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שלושה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וניסה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לשחוט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שניים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נוספים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בדרך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שיסוף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צווארם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בביתם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יצאו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ורק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בשל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יהדותם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בשל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שחשב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שקורבנותיו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ממעשי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הרצח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כפול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הזוג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תמר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ויהודה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כדורי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הי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בביתם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שהרעיד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וטלטל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מדינה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שלמה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ופוענח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בחלוף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שלוש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שבוצע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למרבה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הזוועה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נוסף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שהביא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ללכידתו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D">
      <w:pPr>
        <w:bidi w:val="1"/>
        <w:spacing w:line="360" w:lineRule="auto"/>
        <w:jc w:val="both"/>
        <w:rPr>
          <w:rFonts w:ascii="David" w:cs="David" w:eastAsia="David" w:hAnsi="David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line="360" w:lineRule="auto"/>
        <w:jc w:val="both"/>
        <w:rPr>
          <w:rFonts w:ascii="David" w:cs="David" w:eastAsia="David" w:hAnsi="David"/>
          <w:b w:val="1"/>
          <w:sz w:val="26"/>
          <w:szCs w:val="26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6"/>
          <w:szCs w:val="26"/>
          <w:u w:val="single"/>
          <w:rtl w:val="1"/>
        </w:rPr>
        <w:t xml:space="preserve">כתב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u w:val="single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u w:val="single"/>
          <w:rtl w:val="1"/>
        </w:rPr>
        <w:t xml:space="preserve">והכרעת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6"/>
          <w:szCs w:val="26"/>
          <w:u w:val="single"/>
          <w:rtl w:val="1"/>
        </w:rPr>
        <w:t xml:space="preserve">הדין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הורשע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שמיעת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ראיות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הבאות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502" w:right="0" w:hanging="782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בכוונה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תחילה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300(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)(2)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-1977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כנוסחו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502" w:right="0" w:hanging="782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502" w:right="0" w:hanging="782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מחמירות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301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)(1), (10)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-(11)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502" w:right="0" w:hanging="782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305(1)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-1977,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בצירוף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37(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המאבק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502" w:right="0" w:hanging="782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חבלה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חמורה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מחמירות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335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)(1)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333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1977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בצירוף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37(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המאבק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-2016.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502" w:right="0" w:hanging="782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פציעה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מחמירות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355(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)(1)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334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- 1977.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502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502" w:right="0" w:hanging="782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חברות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פעילה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בארגון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טרור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22(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המאבק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-2016.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502" w:right="0" w:hanging="782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1502" w:right="0" w:hanging="782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שלוש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כניסה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כחוק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12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הכניסה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- 1952. </w:t>
      </w:r>
    </w:p>
    <w:p w:rsidR="00000000" w:rsidDel="00000000" w:rsidP="00000000" w:rsidRDefault="00000000" w:rsidRPr="00000000" w14:paraId="0000004E">
      <w:pPr>
        <w:bidi w:val="1"/>
        <w:ind w:left="5760" w:firstLine="0"/>
        <w:rPr>
          <w:rFonts w:ascii="David" w:cs="David" w:eastAsia="David" w:hAnsi="Davi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כתב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ארבעה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אישומים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line="360" w:lineRule="auto"/>
        <w:jc w:val="both"/>
        <w:rPr>
          <w:rFonts w:ascii="David" w:cs="David" w:eastAsia="David" w:hAnsi="David"/>
          <w:sz w:val="26"/>
          <w:szCs w:val="26"/>
          <w:u w:val="single"/>
        </w:rPr>
      </w:pPr>
      <w:r w:rsidDel="00000000" w:rsidR="00000000" w:rsidRPr="00000000">
        <w:rPr>
          <w:rFonts w:ascii="David" w:cs="David" w:eastAsia="David" w:hAnsi="David"/>
          <w:sz w:val="26"/>
          <w:szCs w:val="26"/>
          <w:u w:val="single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u w:val="single"/>
          <w:rtl w:val="1"/>
        </w:rPr>
        <w:t xml:space="preserve">הראשון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בחברות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בארגון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האיסלאמית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דאע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הנטען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בכתב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הארגון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הוכרז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כארגון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3.9.2014.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2011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הצטרף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לתנועת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סלפיה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יהדיה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ובשנת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2014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נשבע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אמונים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לארגון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האסלאמית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דאע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ממועד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החליט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לרצוח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לאומני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ואידאולוגי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וכחלק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מחברותו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בדאע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המעשים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שפורטו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באישומים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4-2.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נטען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בארגון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בעבור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הארגון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ובמטרה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פעילותו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הורשע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בהכרעת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הורשע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חברות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פעילה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בארגון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טרור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22(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המאבק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-2016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המאבק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בטרור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לתקופה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שמתחילה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במועד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שחרורו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בחודש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ינואר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2019.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spacing w:line="360" w:lineRule="auto"/>
        <w:jc w:val="both"/>
        <w:rPr>
          <w:rFonts w:ascii="David" w:cs="David" w:eastAsia="David" w:hAnsi="David"/>
          <w:sz w:val="26"/>
          <w:szCs w:val="26"/>
          <w:u w:val="single"/>
        </w:rPr>
      </w:pPr>
      <w:r w:rsidDel="00000000" w:rsidR="00000000" w:rsidRPr="00000000">
        <w:rPr>
          <w:rFonts w:ascii="David" w:cs="David" w:eastAsia="David" w:hAnsi="David"/>
          <w:sz w:val="26"/>
          <w:szCs w:val="26"/>
          <w:u w:val="single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u w:val="single"/>
          <w:rtl w:val="1"/>
        </w:rPr>
        <w:t xml:space="preserve">השני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בניסיון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הנערה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העובדות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שהוכחו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8.1.2019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נכנס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במטרה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להרוג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לאומני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ואידאולוגי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נשא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בכליו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סכינים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האחת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באורך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-30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הסכין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והשנייה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סכין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קפיצית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באורך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-15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הסכין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הקפיצית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ושוקר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לירושלים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לשכונת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ארמון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שוטט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ברחובות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השכונה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בכוונה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קורבן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ולרצוח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הלילה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במקלט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הבניין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ברחוב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מרדכי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אלקחי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55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בסמוך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עילי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לבניין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ברחוב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מרדכי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אלקחי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17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המקלט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השאיר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במקלט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הסכין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הקפיצית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והשוקר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ויצא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לשוטט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ולאתר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קורבן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9.1.2019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לשעה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06:50,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נערה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ילידת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2003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שמתגוררת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בשכונת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ארמון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בירושלים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צועדת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לכיוון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מדרגות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המובילות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מרחבת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החניה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שברחוב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מרדכי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אלקחי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55)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לחלקו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הרחוב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תחנת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האוטובוס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החליט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לרצוח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לאומני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ואידיאולוגי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יהודייה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חזותה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ומקום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מגוריה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והחל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ללכת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אחריה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במהירות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כשהוא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מדלג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במעלה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המדרגות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השיג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כשהייתה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באמצע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גרם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המדרגות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הסכין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החזיק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גבי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המותן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והחל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לדקור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הסכין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צווארה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ולנסות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לשסף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תנועות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דקירה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הסכין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גבי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צווארה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וגרם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חתך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בצוואר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באורך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-7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צעקה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זעקת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כאב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נמלט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מהמקום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במהירות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במעלה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המדרגות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התרחק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מהשכונה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נסע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בתחבורה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ציבורית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יצא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וחזר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לביתו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בסיוע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אחותה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חזרה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ופונתה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לקבלת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טיפול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רפואי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נגרמו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חתך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בצוואר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וחתך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באצבע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ימין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החתכים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הצריכו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תפירה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הרדמה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שבהן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הורשע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בגדרו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305(1)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-1977,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בצירוף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37(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המאבק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-2016;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פציעה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מחמירות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335(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)(1),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334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כניסה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כחוק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12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הכניסה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-1952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הכניסה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4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spacing w:line="360" w:lineRule="auto"/>
        <w:jc w:val="both"/>
        <w:rPr>
          <w:rFonts w:ascii="David" w:cs="David" w:eastAsia="David" w:hAnsi="David"/>
          <w:sz w:val="26"/>
          <w:szCs w:val="26"/>
          <w:u w:val="single"/>
        </w:rPr>
      </w:pPr>
      <w:r w:rsidDel="00000000" w:rsidR="00000000" w:rsidRPr="00000000">
        <w:rPr>
          <w:rFonts w:ascii="David" w:cs="David" w:eastAsia="David" w:hAnsi="David"/>
          <w:sz w:val="26"/>
          <w:szCs w:val="26"/>
          <w:u w:val="single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u w:val="single"/>
          <w:rtl w:val="1"/>
        </w:rPr>
        <w:t xml:space="preserve">השלישי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בגדרו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השלישי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הורשע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הזוג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ותמר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כדורי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המנוחה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", 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המנוח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הזוג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ילידי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1947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-1950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בהתאמה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נשואים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שהתגוררו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7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ברחוב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מרדכי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אלקחי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17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55,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הכניסה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העליונה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בירושלים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10.2.2019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ונכנס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במטרה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להרוג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לאומני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ואידיאולוגי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חזר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למקלט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כמפורט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ונטל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הסכין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והשוקר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השאיר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מחבוא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במקלט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שוטט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ברחובות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השכונה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בכוונה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קורבן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ולרצוח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לשעה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21:30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הבחין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המגיע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ברכבו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לרחבת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החניה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שלפני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הכניסה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לבניין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ברחוב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מרדכי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אלקחי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55.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חובש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כיפה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לראשו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יוצא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הרכב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בעודו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מונע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פורק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שקיות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מצרכים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ופונה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לכיוון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במרחק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נכנס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לבניין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בעקבותיו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ועקב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אחריו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כשירד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במדרגות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לכיוון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מפלס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עצר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בעיקול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גרם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המדרגות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המוליך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למקלט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הבניין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וצפה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שנכנס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קצר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יצא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ושב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לרכב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המונע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מהמקום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צפה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התקרב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פתח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נעולה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ונכנס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החדרים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ומצא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המנוחה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כשהיא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שוכבת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במיטתה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בחדר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החליט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להמית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המנוחה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ודקר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הסכין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הקפיצית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בצווארה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פעמים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עזב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חדר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והסתתר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בחדר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המתין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לשובו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חזר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המצרכים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סידר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במטבח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וישב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לאכול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שהמנוח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לכיוון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החדר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הסתתר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הסתער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ודקר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בסכין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הקפיצית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המעשים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במהלכן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שטף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ידיו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הסכין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בכיור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המטבח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הוציא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מפתח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נעוץ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בחריץ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המנעול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הפנימי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ונעל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אחריו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הרשעת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בכוונה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תחילה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300(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)(2)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כנוסחו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);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כניסה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כחוק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12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הכניסה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4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spacing w:line="360" w:lineRule="auto"/>
        <w:jc w:val="both"/>
        <w:rPr>
          <w:rFonts w:ascii="David" w:cs="David" w:eastAsia="David" w:hAnsi="David"/>
          <w:sz w:val="26"/>
          <w:szCs w:val="26"/>
          <w:u w:val="single"/>
        </w:rPr>
      </w:pPr>
      <w:r w:rsidDel="00000000" w:rsidR="00000000" w:rsidRPr="00000000">
        <w:rPr>
          <w:rFonts w:ascii="David" w:cs="David" w:eastAsia="David" w:hAnsi="David"/>
          <w:sz w:val="26"/>
          <w:szCs w:val="26"/>
          <w:u w:val="single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u w:val="single"/>
          <w:rtl w:val="1"/>
        </w:rPr>
        <w:t xml:space="preserve">הרביעי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בגדרו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הרביעי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הורשע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במעשה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ובניסיון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האירוע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אירע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שלוש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מאוחר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שוחרר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ממעצר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מנהלי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17.3.2022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ושב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בחברון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20.3.2022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השאיר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מכשיר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הטלפון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ברשותו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ונכנס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במטרה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להרוג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נשא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תיק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ובתוכו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מגזרי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שוקר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חשמלי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פנס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פלפל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וסכין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באורך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-15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הסכין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רכש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עטה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כפפות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ידיו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טיפס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גדר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ההפרדה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חנינה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ונכנס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כשפניו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הליכה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רגלית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מונית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ונסע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לאזור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תלפיות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ערב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מאוחרת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לשכונת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ארמון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שוטט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ברחובות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השכונה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בכוונה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קורבן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ולרצוח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לאומני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ואידיאולוגי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לשעה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01:20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21.3.2022,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נכנס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לבניין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ברחוב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חנוך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אלבק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11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בירושלים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לקומה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ניסה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לפתוח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מימין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הצליח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כיוון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שהייתה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נעולה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ניגש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לדלת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באותה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פתח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כשהוא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אוחז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הסכין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ובידו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בשוקר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ומאיר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דרכו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הפנס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המורכב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השוקר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הבחין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באיוון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טירוונסקי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יליד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1985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המנוח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אזרח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מולדובה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העובד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שהתגורר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איגור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אונוי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יליד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1984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איגור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השניים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ואיגור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במיטתם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בחדר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שהניח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שקורבנותיו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ניגש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למיטתו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המצויה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בצדו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הימני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החדר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דקר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בעודו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הסכין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דקירה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עמוקה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בצוואר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הסתובב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לכיוון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המיטה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שהייתה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בצדו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השמאלי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החדר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ודקר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איגור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הסכין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דקירה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עמוקה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בצוואר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שקם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ממיטתו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נעמד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בחדר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והמנוח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יצא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בעקבותיו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שהמנוח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התמוטט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לאיגור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נגרמו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חבלות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קשות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שבהן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הורשע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מחמירות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סעיפים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301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(1),(10)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-(11)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305(1)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בצירוף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37(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המאבק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חבלה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חמורה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מחמירות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335(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)(1),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333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בצירוף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37(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המאבק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כניסה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כחוק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12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הכניסה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הראיות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לעונש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לבקשת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הונח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לפנינו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תסקיר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נפגעי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שנערך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ילדיהם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הזוג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כדורי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התסקיר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מבוסס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מפגשים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ובניהם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המנוחים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המסמכים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מתאר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הרשמים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עורכת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התסקיר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מהמפגש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הילדים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ומלמד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תמונת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נזק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עצובה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ומכמירת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אובדן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כפול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ההורים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פתאומי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ובביתם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מבצרם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קשות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הוזכר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הוודאות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לזהות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הרוצח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לתפיסת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שלווה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בחשדות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מהילדים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ופורט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המנוחים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והילדים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מטעמים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צנעת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הפרט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לפרט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שנכתבו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ונסתפק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בהערכתה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עורכת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התסקיר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תמונת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הנזקים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מנשוא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ובתיאור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חומרת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האובדן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הבלתי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הפיך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שנגרם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והשלכותיו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הנרחבות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חייהם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ההמלצה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בתסקיר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לפיצוי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כספי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משמעותי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לשלושת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הילדים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הגישה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גיליון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הגיליון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הרשעות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קודמות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ביטחוניות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ובהן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ותמיכה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בארגון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2018)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נדון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-9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חודשי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חברות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בהתאגדות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חוקית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והפרת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הוראה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סגירת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שטח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2013)-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בגינן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נדון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-42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חודשי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ולפני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הורשע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ונדון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נושאי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אישומים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-3,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נעצר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במעצר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מנהלי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ושוחרר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בסמוך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לביצוע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המעשים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נושאי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4.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עיקרי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הטיעונים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לעונש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עמדה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החריגות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בדיון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בעונשו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אכזרי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וחסר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מעצורים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ותיארה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המעשים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שנעשו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אידיאולוגיה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חולנית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ומעוותת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אנושית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המונעת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משנאה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דתית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טהורה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בכוונה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לרצוח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שיותר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בהתייחסה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לערכים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המוגנים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הפנתה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קדושת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בארגון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דאעש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חפים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מפשע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ומעבר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לקטילת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חייהם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וניסיון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לקטול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חייהם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פציעתם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הביאו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לזריעת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פחד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החברה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כולה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ולפגיעה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בתחושת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הביטחון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הכללית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מכוער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ונתעב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הביא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בעיקר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בקשר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השלישי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שמדינה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טלטלה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ורעדה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טענה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שמידת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הפגיעה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בערכים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המוגנים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הגבוה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קורבנות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נרצחו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בביתם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בכפם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והאחרים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ניצלו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מתוצאה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דומה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ביקש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עמדה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ההיבטים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הנפשיים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לנפגעים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שנותרו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ולבני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המשפחה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שנרצחו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עתרה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להטלת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נפרד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טענה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מקרינות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האישומים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האחרים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בהתייחסה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לאישומים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השלישי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והרביעי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פירטה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ועמדה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ההשפעה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שהייתה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אירוע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הנפגעים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בהתייחסה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המחמירות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ציינה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התקיימו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במלואן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תכנון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מוקדם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בלעדי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בביצוע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הנזק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בפועל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הנזק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הפוטנציאלי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השליטה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באירועים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ועוד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לשיטתה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באותם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אירועים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נדרש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מתחם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במתחם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שכמעט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מותיר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שאינן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קשורות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לביצוע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כלשהן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שיכולות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להצדיק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הקלה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בעונשו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רקע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עתרה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להטלת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עולם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מצטברים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הזוג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כדורי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איוון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טירוונסקי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ביקשה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בחומרתו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וזאת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להשתייכות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לארגון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הנוספות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הפנייה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להנחיית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9/18.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ניסון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והפציעה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הגישה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פסיקה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שתומכת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בעמדתה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וביקשה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ועבירת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הפציעה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מחמירות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מתחם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23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- 26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ולהטיל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25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ועבירת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החבלה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שבוצעו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איגור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מתחם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26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-29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ולהטיל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28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לסיכום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ביקשה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עולם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-53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שירוצו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כולם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במצטבר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ולצד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בחומרתו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ביקשה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לפסוק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פיצוי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לנפגעים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חלקו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שמדובר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במעשי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חמורים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וקשים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הסכימו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עונשי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במצטבר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וחלקו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עמדת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היבטים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האחד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לטענתם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בחומרתו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נתונה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למקרים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להידרש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לרקע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לביצוע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לטענתם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שנקבעו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בהנחיית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אינן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מתקיימות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במקרה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טענה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נוספת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להלום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קביעה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כזו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קביעה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עונשית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שחרור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התשס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-2001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שחרור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ממאסר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72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72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חלקו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מתחמי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טענה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שהסכימו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להבחנה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שנעשתה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הרביעי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סברו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מתחמים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שהעונשים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נמוכים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והרף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התחתון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18-15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7">
      <w:pPr>
        <w:rPr>
          <w:rFonts w:ascii="David" w:cs="David" w:eastAsia="David" w:hAnsi="David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דיון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והכרעה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בתיקי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פשיעה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חמורה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נחשפים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למעשי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זוועה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העיסוק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במעשי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קשות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חושף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מטבע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שעוסק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למבצעי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המעשים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המחליאים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והמתועבים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האחד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ולקורבנותיהם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המעשים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נותרו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המשפחה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ולמי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שסבלו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פיזית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ויותר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פגיעה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נפשית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מהחמורות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הקשה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הסבל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והיגון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לחומרה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שהמלים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הנכתבות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אינן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יכולות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לבטא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המדובר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בסדרת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נוראיים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נשחטו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ונטבחו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חפים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מפשע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בביתם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מבצרם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בכפם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הפצועים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אמורים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מבחינת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שתכניתו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צלחה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ננסה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לדמות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לעצמנו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השטן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שליחיו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במעשים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השטניים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בהחלט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שניתן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לראותו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כאחד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השליחים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מחלוקת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לדון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לשלושה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עולם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מצטברים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לעונשי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הנוספות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שגם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יצטברו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לעניין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הצטברות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העונשים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5995/21 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אבו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אלחסנה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37 (16.6.2022);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8686/15 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רומן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גריבוב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51 (3.10.2017);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5066/18 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רוזקוב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68 (4.9.2022)).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המחלוקת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העונשים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הנוספים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ולגבי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הקביעה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בחומרתו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הרצח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חריגות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בחומרתן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המונח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בחומרתו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הוכנס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החוקים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בתיקון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14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שחרור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והביא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להוספת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30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851" w:hanging="72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</w:t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שהרשיע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רשאי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לעניין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המלצה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לקציבת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שאותו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המעשה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בחומרתן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851" w:hanging="72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851" w:hanging="72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</w:t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קטן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יחולו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29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בשינויים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40" w:lineRule="auto"/>
        <w:ind w:left="1440" w:right="851" w:hanging="72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ind w:left="2069" w:right="851" w:hanging="567.0000000000002"/>
        <w:jc w:val="both"/>
        <w:rPr>
          <w:rFonts w:ascii="David" w:cs="David" w:eastAsia="David" w:hAnsi="David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(1)</w:t>
        <w:tab/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האמור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בסעיף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קטן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ועדת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שחרורים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מיוחדת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תמליץ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להקל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בעונשו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האסיר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בטרם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חלפו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לפחות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15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מהיום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שבו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החל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לשאת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מעצרו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ובלבד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שהתקופה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שתמליץ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לקצוב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תפחת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-40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..."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4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הוראה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נוספת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נפקות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לקביעה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שהמעשה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בוצע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בחומרתן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הוכנסה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התיקון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30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התשס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-2001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בתיקון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10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הוסף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8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1)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4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851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ייכלל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בהחלטה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שחרור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אסיר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קטן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שהורשע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שלגביו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30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שחרור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התשס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-2001,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המעשה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בחומרתן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4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4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ביקשה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בוצע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בחומרתן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הסיבה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שניתנה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הצהרתית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ערכית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דווקא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בעניינו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40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המאבק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שמגביל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ממילא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האפשרות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לקציבת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עונשו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חלקו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התקיימות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המצדיקות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הקביעה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האמורה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וטענו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עניינו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נופל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בגדר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המקרים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המפורטים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בהנחיית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המצדיקים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עתירה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לקביעה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4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4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חולק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לנקוט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בטרם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קביעה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בחומרתן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ולעשות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במשורה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4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7899/16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אבו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חאשיה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6 (16.10.2018)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אבו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חאשיה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240" w:lineRule="auto"/>
        <w:ind w:left="720" w:right="851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מובן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מזעזע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ובשפת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הדיבור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היומיומי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מסויים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איננו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בחומרתו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המחוקק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מצווה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להגדיר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בחומרתם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בהשוואה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למקרי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המובאים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לפתחם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לשון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הוראת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30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נועדה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למקרים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ויישומה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להיעשות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במשורה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ההסבר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להצעת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מיועד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אכזריים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מרובי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קורבנות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566;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הדוגמאות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שהוזכרו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הליכי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החקיקה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פרוטוקול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237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מישיבת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ועדת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החוקה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ומשפט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22.9.2014)...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אינני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סבור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להפעלת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30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הצטברות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רכיבים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חומרה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יתרה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נכון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הטענה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אידיאולוגי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מוביל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בהכרח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להגדרה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בחומרתן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'".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4039/19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נחמני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פסקאות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100-93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וההפניות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(17.3.2021)).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4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המקרה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שלפנינו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הולם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הקביעה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בחומרתן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בהצטברות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אירועים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ביקש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לקטול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חמישה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והצליח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בקטילתם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ניסה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שהניסיון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צלח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קורבנותיו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אנשים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שישנו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במיטותיהם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ונערה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צעירה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התגנב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מאחור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מאופיינים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בסגנון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תקיפה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דקירות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סכין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היישר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באזור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הצוואר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לקורבן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יכולת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להתגונן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למותם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המעשה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כשהוא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חדור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עמוקה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חזר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לבצעם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בהפרש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שבהן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במעצר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מנהלי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כשהוא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נלאה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ממימוש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תפיסת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עולמו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הרצחנית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ועדיין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נחוש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לרצוח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ובאשר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הזוג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כדורי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משפחתי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23881-12-15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חליל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(28.11.2016)).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התרשמותנו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מתגובותיו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ובמשפט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והאופן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התנהג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לימדו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היעדר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חרטה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צער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ההיפך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ניכר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התגאה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במעשיו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ושמח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4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מצאתי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בטענות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אינן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כלולות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העונשין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שחרור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המדובר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בהוראות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תקפה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ורלוונטית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במיקומה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החוקים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לגרוע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מתוקפה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בטענה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ההגנה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עניינו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נופל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בגדר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המקרים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הנזכרים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בהנחיית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בהנחייה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גופה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ממצא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4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קובעים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שלושת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שביצע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בוצעו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בחומרתן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משמעות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קביעה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יוכל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להשתחרר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מטעמים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ניהול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יחסי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החוץ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וביטחונה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8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1)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הממשלה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)).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מתחמי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ההולם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והעונשים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הנוספות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4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קביעת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המתחמים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נדרשת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החבלה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והפציעה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הנוספות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שנדונו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באישומים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והרביעי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צורך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להרחיב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לערכים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המוגנים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ולעוצמת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הפגיעה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שפרטנו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לרבות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ההשלכות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החרדה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הכללית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והפגיעה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בציבור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כולו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84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4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בוצעו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ממניע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ומשכך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המאבק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להחמרה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בענישה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עיקרון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הגמול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6894/22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אסכאפי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10 (15.8.2023)).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חומרה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נוספת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נובעת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מהסתננות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פעמים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במטרה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לפגוע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ולרצוח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7716/14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אבו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סעיפאן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פסקה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11 (27.4.2015)).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4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בחינת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מדיניות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הענישה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מלמדת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עונשים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שהוטלו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שביצעו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שמהן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ללמוד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מתחם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ההולם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rFonts w:ascii="David" w:cs="David" w:eastAsia="David" w:hAnsi="David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5937/22 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פלוני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 (28.9.2023)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נדחה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ערעורו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מערער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הורשע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בביצוע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ניסיון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המערער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בדקירות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סכין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נערה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יהודייה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18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בתחנת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אוטובוס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בעפולה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גופה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הנפגעת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נמצאו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תשעה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פצעי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דקירה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באזור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והצוואר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יהודייה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המתחם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שנקבע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הועמד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26-20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והעונש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שהוטל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23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בפועל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עונשים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נלווים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rFonts w:ascii="David" w:cs="David" w:eastAsia="David" w:hAnsi="David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7193/22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עיוויווי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 (28.1.2024)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נדון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עניינם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לבגיר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שיצא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מביתו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במזרח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נוסף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צייד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בסכין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ועשה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דרכו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לשער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יפו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דרסו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במכוון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עוברי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אורח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זוהו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ככאלה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חזותם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ולבושם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חרדי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מסורתי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המערער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דלק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הקורבנות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בעודו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שרוע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הכביש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וניסה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לדקור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המתחם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שנקבע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הועמד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15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22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בפועל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ענישה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נלווית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והעונש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שהוטל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המערער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הועמד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16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בפועל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עונשים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נלווים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rFonts w:ascii="David" w:cs="David" w:eastAsia="David" w:hAnsi="David"/>
          <w:b w:val="0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9552/16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קומבוז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 (22.1.2018)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נדחה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ערעורו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מערער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ארב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המיתרים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שבירושלים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לעובר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ושב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בחיפוש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קורבנות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משזיהה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חייל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בסמוך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ניסה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לדקור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בצוואר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במטרה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להורגו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המתחם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שנקבע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12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- 19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בפועל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והעונש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שהוטל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- 17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בפועל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84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נותנים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המחמירות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שליוו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נראה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לקביעת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המתחמים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הבאים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האירוע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16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-20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עונשים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נלווים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ובגין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האירוע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הרביעי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18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-22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עונשים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נלווים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84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למיקום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עונשו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המתחמים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נמצא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שיקול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שיכול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להצדיק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מיקומו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עונשו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המתחמים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בהינתן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הנסיבות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שפורטו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ומסוכנותו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המסוכנות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הנשקפת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במשך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11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באגון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הטרור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דאעש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ובמהלכן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בלתי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נלאה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וביצע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המעשים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הרצחניים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המפורטים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לממש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תפיסת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עולמו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המעוותת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שחיטת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שיעלה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בידו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הפוגה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כשלוש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שנכפתה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נתון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במעצר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מנהלי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שחרורו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האחרון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שבגינו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נעצר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והובא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למשפט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העונש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שיוטל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שבביצוען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הורשע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יעמוד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אפוא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19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והעונש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שיוטל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העבירות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שביצוען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הורשע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הרביעי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למעט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יעמוד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21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סיכום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מציע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לחבריי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נטיל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העונשים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הבאים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שלושה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מאסרי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עולם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-40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שנות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מאסר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שירוצו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כולם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במצטבר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תקופות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המאסר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יימנו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מעצרו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21.3.2022.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hanging="36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פיצוי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לנפגעי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העבירה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הפירוט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לנפגעת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סכום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150,000 ₪;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לנפגעי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השלישי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פיצוי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מקסימלי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בסכום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258,000 ₪</w:t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תמר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כדורי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וסכום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258,000 ₪</w:t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יהודה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כדורי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סכומים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ישולמו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לילדיהם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בחלקים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שווים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לפירוט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שתעביר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המאשימה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);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108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לנפגע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העבירה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הרביעי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סכום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175,000 ₪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לאיגור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אונוי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נמסרו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פרטים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לגבי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שביצע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רצח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בחומרתם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הנובע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E">
      <w:pPr>
        <w:rPr>
          <w:rFonts w:ascii="David" w:cs="David" w:eastAsia="David" w:hAnsi="David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המוצגים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שנתפסו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באירוע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האישום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הרביעי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יחולטו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ויושמדו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tbl>
      <w:tblPr>
        <w:tblStyle w:val="Table4"/>
        <w:bidiVisual w:val="1"/>
        <w:tblW w:w="2962.0" w:type="dxa"/>
        <w:jc w:val="left"/>
        <w:tblInd w:w="50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962"/>
        <w:tblGridChange w:id="0">
          <w:tblGrid>
            <w:gridCol w:w="2962"/>
          </w:tblGrid>
        </w:tblGridChange>
      </w:tblGrid>
      <w:tr>
        <w:trPr>
          <w:cantSplit w:val="0"/>
          <w:trHeight w:val="99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0">
            <w:pPr>
              <w:bidi w:val="1"/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</w:rPr>
              <w:drawing>
                <wp:inline distB="0" distT="0" distL="0" distR="0">
                  <wp:extent cx="981075" cy="752475"/>
                  <wp:effectExtent b="0" l="0" r="0" t="0"/>
                  <wp:docPr descr="022213889" id="5" name="image3.png"/>
                  <a:graphic>
                    <a:graphicData uri="http://schemas.openxmlformats.org/drawingml/2006/picture">
                      <pic:pic>
                        <pic:nvPicPr>
                          <pic:cNvPr descr="022213889"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75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1">
            <w:pPr>
              <w:bidi w:val="1"/>
              <w:spacing w:line="276" w:lineRule="auto"/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1"/>
              </w:rPr>
              <w:t xml:space="preserve">ארנון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1"/>
              </w:rPr>
              <w:t xml:space="preserve">דראל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1"/>
              </w:rPr>
              <w:t xml:space="preserve">,  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1"/>
              </w:rPr>
              <w:t xml:space="preserve">סגן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1"/>
              </w:rPr>
              <w:t xml:space="preserve">נשיא</w:t>
            </w:r>
          </w:p>
        </w:tc>
      </w:tr>
    </w:tbl>
    <w:p w:rsidR="00000000" w:rsidDel="00000000" w:rsidP="00000000" w:rsidRDefault="00000000" w:rsidRPr="00000000" w14:paraId="000000E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360" w:lineRule="auto"/>
        <w:jc w:val="right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360" w:lineRule="auto"/>
        <w:jc w:val="right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line="360" w:lineRule="auto"/>
        <w:jc w:val="right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השופט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א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'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אברבנאל</w:t>
      </w: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E6">
      <w:pPr>
        <w:bidi w:val="1"/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אני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מסכים</w:t>
      </w:r>
    </w:p>
    <w:tbl>
      <w:tblPr>
        <w:tblStyle w:val="Table5"/>
        <w:bidiVisual w:val="1"/>
        <w:tblW w:w="2294.0" w:type="dxa"/>
        <w:jc w:val="left"/>
        <w:tblInd w:w="565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294"/>
        <w:tblGridChange w:id="0">
          <w:tblGrid>
            <w:gridCol w:w="229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bidi w:val="1"/>
              <w:spacing w:after="40" w:before="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</w:rPr>
              <w:drawing>
                <wp:inline distB="0" distT="0" distL="0" distR="0">
                  <wp:extent cx="1319530" cy="457200"/>
                  <wp:effectExtent b="0" l="0" r="0" t="0"/>
                  <wp:docPr id="2" name=""/>
                  <a:graphic>
                    <a:graphicData uri="http://schemas.openxmlformats.org/drawingml/2006/picture">
                      <pic:pic>
                        <pic:nvPicPr>
                          <pic:cNvPr descr="C:\Users\ShimiG\AppData\Local\Microsoft\Windows\Temporary Internet Files\Content.Word\056423866.tif"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tabs>
                <w:tab w:val="center" w:leader="none" w:pos="1039"/>
              </w:tabs>
              <w:bidi w:val="1"/>
              <w:spacing w:after="40" w:before="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אלי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אברבנאל</w:t>
            </w:r>
            <w:r w:rsidDel="00000000" w:rsidR="00000000" w:rsidRPr="00000000">
              <w:rPr>
                <w:b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rtl w:val="1"/>
              </w:rPr>
              <w:t xml:space="preserve">שופט</w:t>
            </w:r>
          </w:p>
        </w:tc>
      </w:tr>
    </w:tbl>
    <w:p w:rsidR="00000000" w:rsidDel="00000000" w:rsidP="00000000" w:rsidRDefault="00000000" w:rsidRPr="00000000" w14:paraId="000000E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bidi w:val="1"/>
        <w:spacing w:line="360" w:lineRule="auto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bidi w:val="1"/>
        <w:spacing w:line="360" w:lineRule="auto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bidi w:val="1"/>
        <w:spacing w:line="360" w:lineRule="auto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השופטת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ח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'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זנדברג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EE">
      <w:pPr>
        <w:bidi w:val="1"/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אני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מסכימה</w:t>
      </w:r>
    </w:p>
    <w:tbl>
      <w:tblPr>
        <w:tblStyle w:val="Table6"/>
        <w:bidiVisual w:val="1"/>
        <w:tblW w:w="2958.0" w:type="dxa"/>
        <w:jc w:val="left"/>
        <w:tblInd w:w="565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958"/>
        <w:tblGridChange w:id="0">
          <w:tblGrid>
            <w:gridCol w:w="29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F">
            <w:pPr>
              <w:bidi w:val="1"/>
              <w:spacing w:after="40" w:before="40" w:lineRule="auto"/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1741170" cy="636270"/>
                  <wp:effectExtent b="0" l="0" r="0" t="0"/>
                  <wp:docPr id="1" name=""/>
                  <a:graphic>
                    <a:graphicData uri="http://schemas.openxmlformats.org/drawingml/2006/picture">
                      <pic:pic>
                        <pic:nvPicPr>
                          <pic:cNvPr descr="C:\Users\ShimiG\AppData\Local\Microsoft\Windows\Temporary Internet Files\Content.Word\022787378.tif"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pStyle w:val="Heading3"/>
              <w:bidi w:val="1"/>
              <w:spacing w:after="40" w:before="4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חיה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זנדברג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שופטת</w:t>
            </w:r>
          </w:p>
        </w:tc>
      </w:tr>
    </w:tbl>
    <w:p w:rsidR="00000000" w:rsidDel="00000000" w:rsidP="00000000" w:rsidRDefault="00000000" w:rsidRPr="00000000" w14:paraId="000000F1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bidi w:val="1"/>
        <w:rPr>
          <w:rFonts w:ascii="David" w:cs="David" w:eastAsia="David" w:hAnsi="Davi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bidi w:val="1"/>
        <w:rPr>
          <w:rFonts w:ascii="David" w:cs="David" w:eastAsia="David" w:hAnsi="David"/>
          <w:sz w:val="26"/>
          <w:szCs w:val="26"/>
        </w:rPr>
      </w:pP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הוחלט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פה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להטיל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הנאשם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העונשים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כמפורט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4" w:lineRule="auto"/>
        <w:ind w:left="72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360" w:lineRule="auto"/>
        <w:ind w:left="0" w:right="0" w:firstLine="0"/>
        <w:jc w:val="both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ומילה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אחרונה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לנפגעים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ילדיהם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הזוג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כדורי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המשפחה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איוון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ואיגור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מלים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שיכולות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לתאר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הסבל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שחוויתם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הפציעה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בגוף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ובנפש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נפצעתם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ואחת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מכם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שנפגע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בעצמו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שאיבד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יקיריו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מכאיבה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ונוראית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מקווים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שעם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הגיע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לסיומו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יחל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תהליך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ריפוי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והחלמה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מייחלים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שלצד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הכאב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העצום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נעלם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לעולם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תמצאו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הדרכים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לחיים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מלאים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וטובים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7">
      <w:pPr>
        <w:bidi w:val="1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זכות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ערעור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לבית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המשפט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העליון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בתוך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45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יום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F8">
      <w:pPr>
        <w:bidi w:val="1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bidi w:val="1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היום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,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בשבט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התשפ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ה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, 3.2.2025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במעמד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הצדדים</w:t>
      </w:r>
      <w:r w:rsidDel="00000000" w:rsidR="00000000" w:rsidRPr="00000000">
        <w:rPr>
          <w:rFonts w:ascii="Arial" w:cs="Arial" w:eastAsia="Arial" w:hAnsi="Arial"/>
          <w:sz w:val="26"/>
          <w:szCs w:val="26"/>
          <w:rtl w:val="1"/>
        </w:rPr>
        <w:t xml:space="preserve">.</w:t>
      </w:r>
    </w:p>
    <w:tbl>
      <w:tblPr>
        <w:tblStyle w:val="Table7"/>
        <w:bidiVisual w:val="1"/>
        <w:tblW w:w="82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782"/>
        <w:gridCol w:w="236"/>
        <w:gridCol w:w="2294"/>
        <w:gridCol w:w="236"/>
        <w:gridCol w:w="2657"/>
        <w:tblGridChange w:id="0">
          <w:tblGrid>
            <w:gridCol w:w="2782"/>
            <w:gridCol w:w="236"/>
            <w:gridCol w:w="2294"/>
            <w:gridCol w:w="236"/>
            <w:gridCol w:w="26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A">
            <w:pPr>
              <w:bidi w:val="1"/>
              <w:spacing w:after="40" w:before="40" w:lineRule="auto"/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981075" cy="752475"/>
                  <wp:effectExtent b="0" l="0" r="0" t="0"/>
                  <wp:docPr descr="022213889" id="6" name="image3.png"/>
                  <a:graphic>
                    <a:graphicData uri="http://schemas.openxmlformats.org/drawingml/2006/picture">
                      <pic:pic>
                        <pic:nvPicPr>
                          <pic:cNvPr descr="022213889"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75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bidi w:val="1"/>
              <w:spacing w:after="40" w:before="40" w:lineRule="auto"/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C">
            <w:pPr>
              <w:bidi w:val="1"/>
              <w:spacing w:after="40" w:before="40" w:lineRule="auto"/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1319530" cy="457200"/>
                  <wp:effectExtent b="0" l="0" r="0" t="0"/>
                  <wp:docPr id="3" name=""/>
                  <a:graphic>
                    <a:graphicData uri="http://schemas.openxmlformats.org/drawingml/2006/picture">
                      <pic:pic>
                        <pic:nvPicPr>
                          <pic:cNvPr descr="C:\Users\ShimiG\AppData\Local\Microsoft\Windows\Temporary Internet Files\Content.Word\056423866.tif" id="2" name="תמונה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bidi w:val="1"/>
              <w:spacing w:after="40" w:before="40" w:lineRule="auto"/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E">
            <w:pPr>
              <w:bidi w:val="1"/>
              <w:spacing w:after="40" w:before="40" w:lineRule="auto"/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1550102" cy="636270"/>
                  <wp:effectExtent b="0" l="0" r="0" t="0"/>
                  <wp:docPr id="4" name=""/>
                  <a:graphic>
                    <a:graphicData uri="http://schemas.openxmlformats.org/drawingml/2006/picture">
                      <pic:pic>
                        <pic:nvPicPr>
                          <pic:cNvPr descr="C:\Users\ShimiG\AppData\Local\Microsoft\Windows\Temporary Internet Files\Content.Word\022787378.tif" id="2" name="תמונה 2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/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730" cy="636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bidi w:val="1"/>
              <w:spacing w:after="40" w:before="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ארנון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דראל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סגן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נשיא</w:t>
            </w:r>
          </w:p>
        </w:tc>
        <w:tc>
          <w:tcPr/>
          <w:p w:rsidR="00000000" w:rsidDel="00000000" w:rsidP="00000000" w:rsidRDefault="00000000" w:rsidRPr="00000000" w14:paraId="00000100">
            <w:pPr>
              <w:bidi w:val="1"/>
              <w:spacing w:after="40" w:before="40" w:lineRule="auto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pStyle w:val="Heading3"/>
              <w:bidi w:val="1"/>
              <w:spacing w:after="40" w:before="4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אלי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אברבנאל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שופט</w:t>
            </w:r>
          </w:p>
        </w:tc>
        <w:tc>
          <w:tcPr/>
          <w:p w:rsidR="00000000" w:rsidDel="00000000" w:rsidP="00000000" w:rsidRDefault="00000000" w:rsidRPr="00000000" w14:paraId="00000102">
            <w:pPr>
              <w:bidi w:val="1"/>
              <w:spacing w:after="40" w:before="40" w:lineRule="auto"/>
              <w:jc w:val="center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bidi w:val="1"/>
              <w:spacing w:after="40" w:before="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חיה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זנדברג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שופטת</w:t>
            </w:r>
          </w:p>
        </w:tc>
      </w:tr>
    </w:tbl>
    <w:p w:rsidR="00000000" w:rsidDel="00000000" w:rsidP="00000000" w:rsidRDefault="00000000" w:rsidRPr="00000000" w14:paraId="00000104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spacing w:line="360" w:lineRule="auto"/>
        <w:jc w:val="both"/>
        <w:rPr>
          <w:rFonts w:ascii="Arial" w:cs="Arial" w:eastAsia="Arial" w:hAnsi="Arial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07" w:orient="portrait"/>
      <w:pgMar w:bottom="1418" w:top="1025" w:left="1701" w:right="1701" w:header="720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David"/>
  <w:font w:name="Courier New"/>
  <w:font w:name="Times New Roman"/>
  <w:font w:name="Taho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מתוך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371475" cy="466725"/>
          <wp:effectExtent b="0" l="0" r="0" t="0"/>
          <wp:docPr descr="ישראל - המנורה - 2" id="7" name="image6.png"/>
          <a:graphic>
            <a:graphicData uri="http://schemas.openxmlformats.org/drawingml/2006/picture">
              <pic:pic>
                <pic:nvPicPr>
                  <pic:cNvPr descr="ישראל - המנורה - 2"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1475" cy="466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8"/>
      <w:bidiVisual w:val="1"/>
      <w:tblW w:w="8707.0" w:type="dxa"/>
      <w:jc w:val="center"/>
      <w:tblLayout w:type="fixed"/>
      <w:tblLook w:val="0000"/>
    </w:tblPr>
    <w:tblGrid>
      <w:gridCol w:w="6383"/>
      <w:gridCol w:w="2315"/>
      <w:gridCol w:w="9"/>
      <w:tblGridChange w:id="0">
        <w:tblGrid>
          <w:gridCol w:w="6383"/>
          <w:gridCol w:w="2315"/>
          <w:gridCol w:w="9"/>
        </w:tblGrid>
      </w:tblGridChange>
    </w:tblGrid>
    <w:tr>
      <w:trPr>
        <w:cantSplit w:val="0"/>
        <w:trHeight w:val="418" w:hRule="atLeast"/>
        <w:tblHeader w:val="0"/>
      </w:trPr>
      <w:tc>
        <w:tcPr>
          <w:gridSpan w:val="2"/>
        </w:tcPr>
        <w:p w:rsidR="00000000" w:rsidDel="00000000" w:rsidP="00000000" w:rsidRDefault="00000000" w:rsidRPr="00000000" w14:paraId="000001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8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8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בית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8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8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המשפט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8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8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המחוזי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8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 </w:t>
          </w: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80"/>
              <w:sz w:val="24"/>
              <w:szCs w:val="24"/>
              <w:u w:val="none"/>
              <w:shd w:fill="auto" w:val="clear"/>
              <w:vertAlign w:val="baseline"/>
              <w:rtl w:val="1"/>
            </w:rPr>
            <w:t xml:space="preserve">בירושלים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337" w:hRule="atLeast"/>
        <w:tblHeader w:val="0"/>
      </w:trPr>
      <w:tc>
        <w:tcPr/>
        <w:p w:rsidR="00000000" w:rsidDel="00000000" w:rsidP="00000000" w:rsidRDefault="00000000" w:rsidRPr="00000000" w14:paraId="00000109">
          <w:pPr>
            <w:bidi w:val="1"/>
            <w:rPr>
              <w:rFonts w:ascii="Tahoma" w:cs="Tahoma" w:eastAsia="Tahoma" w:hAnsi="Tahoma"/>
              <w:b w:val="1"/>
              <w:sz w:val="20"/>
              <w:szCs w:val="20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בפני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 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כב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' 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השופטים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 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א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' 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דראל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-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סגן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 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נשיא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, 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א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' 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אברבנאל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, 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ח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' 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זנדברג</w:t>
          </w:r>
        </w:p>
      </w:tc>
      <w:tc>
        <w:tcPr>
          <w:gridSpan w:val="2"/>
        </w:tcPr>
        <w:p w:rsidR="00000000" w:rsidDel="00000000" w:rsidP="00000000" w:rsidRDefault="00000000" w:rsidRPr="00000000" w14:paraId="000001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bidi w:val="1"/>
            <w:spacing w:after="0" w:before="0" w:line="240" w:lineRule="auto"/>
            <w:ind w:left="0" w:right="0" w:firstLine="0"/>
            <w:jc w:val="right"/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3.2.2025</w:t>
          </w:r>
        </w:p>
      </w:tc>
    </w:tr>
    <w:tr>
      <w:trPr>
        <w:cantSplit w:val="0"/>
        <w:trHeight w:val="907" w:hRule="atLeast"/>
        <w:tblHeader w:val="0"/>
      </w:trPr>
      <w:tc>
        <w:tcPr>
          <w:gridSpan w:val="2"/>
        </w:tcPr>
        <w:p w:rsidR="00000000" w:rsidDel="00000000" w:rsidP="00000000" w:rsidRDefault="00000000" w:rsidRPr="00000000" w14:paraId="0000010C">
          <w:pPr>
            <w:bidi w:val="1"/>
            <w:rPr>
              <w:rFonts w:ascii="Tahoma" w:cs="Tahoma" w:eastAsia="Tahoma" w:hAnsi="Tahoma"/>
              <w:b w:val="1"/>
              <w:sz w:val="20"/>
              <w:szCs w:val="20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תפ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"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ח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 33269-04-22</w:t>
          </w:r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מדינת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 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ישראל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 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נ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' 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אסעיד</w:t>
          </w:r>
          <w:r w:rsidDel="00000000" w:rsidR="00000000" w:rsidRPr="00000000">
            <w:rPr>
              <w:rFonts w:ascii="Tahoma" w:cs="Tahoma" w:eastAsia="Tahoma" w:hAnsi="Tahoma"/>
              <w:b w:val="1"/>
              <w:sz w:val="20"/>
              <w:szCs w:val="20"/>
              <w:rtl w:val="1"/>
            </w:rPr>
            <w:t xml:space="preserve"> </w:t>
          </w:r>
        </w:p>
        <w:p w:rsidR="00000000" w:rsidDel="00000000" w:rsidP="00000000" w:rsidRDefault="00000000" w:rsidRPr="00000000" w14:paraId="0000010D">
          <w:pPr>
            <w:bidi w:val="1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E">
          <w:pPr>
            <w:bidi w:val="1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720"/>
      </w:pPr>
      <w:rPr>
        <w:rFonts w:ascii="David" w:cs="David" w:eastAsia="David" w:hAnsi="David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11" w:hanging="360"/>
      </w:pPr>
      <w:rPr>
        <w:rFonts w:ascii="David" w:cs="David" w:eastAsia="David" w:hAnsi="David"/>
        <w:b w:val="1"/>
        <w:sz w:val="26"/>
        <w:szCs w:val="26"/>
      </w:rPr>
    </w:lvl>
    <w:lvl w:ilvl="1">
      <w:start w:val="1"/>
      <w:numFmt w:val="lowerLetter"/>
      <w:lvlText w:val="%2."/>
      <w:lvlJc w:val="left"/>
      <w:pPr>
        <w:ind w:left="1731" w:hanging="360"/>
      </w:pPr>
      <w:rPr/>
    </w:lvl>
    <w:lvl w:ilvl="2">
      <w:start w:val="1"/>
      <w:numFmt w:val="lowerRoman"/>
      <w:lvlText w:val="%3."/>
      <w:lvlJc w:val="right"/>
      <w:pPr>
        <w:ind w:left="2451" w:hanging="180"/>
      </w:pPr>
      <w:rPr/>
    </w:lvl>
    <w:lvl w:ilvl="3">
      <w:start w:val="1"/>
      <w:numFmt w:val="decimal"/>
      <w:lvlText w:val="%4."/>
      <w:lvlJc w:val="left"/>
      <w:pPr>
        <w:ind w:left="3171" w:hanging="360"/>
      </w:pPr>
      <w:rPr/>
    </w:lvl>
    <w:lvl w:ilvl="4">
      <w:start w:val="1"/>
      <w:numFmt w:val="lowerLetter"/>
      <w:lvlText w:val="%5."/>
      <w:lvlJc w:val="left"/>
      <w:pPr>
        <w:ind w:left="3891" w:hanging="360"/>
      </w:pPr>
      <w:rPr/>
    </w:lvl>
    <w:lvl w:ilvl="5">
      <w:start w:val="1"/>
      <w:numFmt w:val="lowerRoman"/>
      <w:lvlText w:val="%6."/>
      <w:lvlJc w:val="right"/>
      <w:pPr>
        <w:ind w:left="4611" w:hanging="180"/>
      </w:pPr>
      <w:rPr/>
    </w:lvl>
    <w:lvl w:ilvl="6">
      <w:start w:val="1"/>
      <w:numFmt w:val="decimal"/>
      <w:lvlText w:val="%7."/>
      <w:lvlJc w:val="left"/>
      <w:pPr>
        <w:ind w:left="5331" w:hanging="360"/>
      </w:pPr>
      <w:rPr/>
    </w:lvl>
    <w:lvl w:ilvl="7">
      <w:start w:val="1"/>
      <w:numFmt w:val="lowerLetter"/>
      <w:lvlText w:val="%8."/>
      <w:lvlJc w:val="left"/>
      <w:pPr>
        <w:ind w:left="6051" w:hanging="360"/>
      </w:pPr>
      <w:rPr/>
    </w:lvl>
    <w:lvl w:ilvl="8">
      <w:start w:val="1"/>
      <w:numFmt w:val="lowerRoman"/>
      <w:lvlText w:val="%9."/>
      <w:lvlJc w:val="right"/>
      <w:pPr>
        <w:ind w:left="6771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444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164" w:hanging="360"/>
      </w:pPr>
      <w:rPr/>
    </w:lvl>
    <w:lvl w:ilvl="2">
      <w:start w:val="1"/>
      <w:numFmt w:val="lowerRoman"/>
      <w:lvlText w:val="%3."/>
      <w:lvlJc w:val="right"/>
      <w:pPr>
        <w:ind w:left="1884" w:hanging="180"/>
      </w:pPr>
      <w:rPr/>
    </w:lvl>
    <w:lvl w:ilvl="3">
      <w:start w:val="1"/>
      <w:numFmt w:val="decimal"/>
      <w:lvlText w:val="%4."/>
      <w:lvlJc w:val="left"/>
      <w:pPr>
        <w:ind w:left="2604" w:hanging="360"/>
      </w:pPr>
      <w:rPr/>
    </w:lvl>
    <w:lvl w:ilvl="4">
      <w:start w:val="1"/>
      <w:numFmt w:val="lowerLetter"/>
      <w:lvlText w:val="%5."/>
      <w:lvlJc w:val="left"/>
      <w:pPr>
        <w:ind w:left="3324" w:hanging="360"/>
      </w:pPr>
      <w:rPr/>
    </w:lvl>
    <w:lvl w:ilvl="5">
      <w:start w:val="1"/>
      <w:numFmt w:val="lowerRoman"/>
      <w:lvlText w:val="%6."/>
      <w:lvlJc w:val="right"/>
      <w:pPr>
        <w:ind w:left="4044" w:hanging="180"/>
      </w:pPr>
      <w:rPr/>
    </w:lvl>
    <w:lvl w:ilvl="6">
      <w:start w:val="1"/>
      <w:numFmt w:val="decimal"/>
      <w:lvlText w:val="%7."/>
      <w:lvlJc w:val="left"/>
      <w:pPr>
        <w:ind w:left="4764" w:hanging="360"/>
      </w:pPr>
      <w:rPr/>
    </w:lvl>
    <w:lvl w:ilvl="7">
      <w:start w:val="1"/>
      <w:numFmt w:val="lowerLetter"/>
      <w:lvlText w:val="%8."/>
      <w:lvlJc w:val="left"/>
      <w:pPr>
        <w:ind w:left="5484" w:hanging="360"/>
      </w:pPr>
      <w:rPr/>
    </w:lvl>
    <w:lvl w:ilvl="8">
      <w:start w:val="1"/>
      <w:numFmt w:val="lowerRoman"/>
      <w:lvlText w:val="%9."/>
      <w:lvlJc w:val="right"/>
      <w:pPr>
        <w:ind w:left="6204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line="360" w:lineRule="auto"/>
      <w:jc w:val="both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ind w:left="5760" w:firstLine="720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2.tiff"/><Relationship Id="rId2" Type="http://schemas.openxmlformats.org/officeDocument/2006/relationships/image" Target="media/image1.tiff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